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612CF">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rPr>
          <w:rFonts w:hint="eastAsia" w:ascii="方正仿宋_GB2312" w:hAnsi="方正仿宋_GB2312" w:eastAsia="方正仿宋_GB2312" w:cs="方正仿宋_GB2312"/>
          <w:b/>
          <w:bCs/>
          <w:color w:val="000000"/>
          <w:sz w:val="36"/>
          <w:szCs w:val="36"/>
          <w:highlight w:val="white"/>
          <w:u w:val="none"/>
          <w:lang w:eastAsia="zh-CN"/>
        </w:rPr>
      </w:pPr>
      <w:r>
        <w:rPr>
          <w:rFonts w:hint="eastAsia" w:ascii="方正仿宋_GB2312" w:hAnsi="方正仿宋_GB2312" w:eastAsia="方正仿宋_GB2312" w:cs="方正仿宋_GB2312"/>
          <w:b/>
          <w:bCs/>
          <w:color w:val="000000"/>
          <w:sz w:val="36"/>
          <w:szCs w:val="36"/>
          <w:highlight w:val="white"/>
          <w:u w:val="none"/>
          <w:lang w:eastAsia="zh-CN"/>
        </w:rPr>
        <w:t>宿迁市产业发展战略规划及产业空间布局规划（含主导产业集群专题研究）征求意见公告</w:t>
      </w:r>
    </w:p>
    <w:p w14:paraId="3A374027">
      <w:pPr>
        <w:spacing w:line="500" w:lineRule="exact"/>
        <w:ind w:firstLine="560" w:firstLineChars="200"/>
        <w:rPr>
          <w:rFonts w:hint="eastAsia" w:ascii="方正仿宋_GB2312" w:hAnsi="方正仿宋_GB2312" w:eastAsia="方正仿宋_GB2312" w:cs="方正仿宋_GB2312"/>
          <w:color w:val="000000"/>
          <w:sz w:val="28"/>
          <w:szCs w:val="28"/>
          <w:highlight w:val="white"/>
        </w:rPr>
      </w:pPr>
      <w:r>
        <w:rPr>
          <w:rFonts w:hint="eastAsia" w:ascii="方正仿宋_GB2312" w:hAnsi="方正仿宋_GB2312" w:eastAsia="方正仿宋_GB2312" w:cs="方正仿宋_GB2312"/>
          <w:color w:val="000000"/>
          <w:sz w:val="28"/>
          <w:szCs w:val="28"/>
          <w:highlight w:val="white"/>
          <w:u w:val="single"/>
          <w:lang w:eastAsia="zh-CN"/>
        </w:rPr>
        <w:t>宿迁市自然资源和规划局</w:t>
      </w:r>
      <w:r>
        <w:rPr>
          <w:rFonts w:hint="eastAsia" w:ascii="方正仿宋_GB2312" w:hAnsi="方正仿宋_GB2312" w:eastAsia="方正仿宋_GB2312" w:cs="方正仿宋_GB2312"/>
          <w:color w:val="000000"/>
          <w:sz w:val="28"/>
          <w:szCs w:val="28"/>
          <w:highlight w:val="white"/>
        </w:rPr>
        <w:t>就</w:t>
      </w:r>
      <w:r>
        <w:rPr>
          <w:rFonts w:hint="eastAsia" w:ascii="方正仿宋_GB2312" w:hAnsi="方正仿宋_GB2312" w:eastAsia="方正仿宋_GB2312" w:cs="方正仿宋_GB2312"/>
          <w:color w:val="000000"/>
          <w:sz w:val="28"/>
          <w:szCs w:val="28"/>
          <w:highlight w:val="white"/>
          <w:u w:val="single"/>
          <w:lang w:eastAsia="zh-CN"/>
        </w:rPr>
        <w:t>宿迁市产业发展战略规划及产业空间布局规划（含主导产业集群专题研究）</w:t>
      </w:r>
      <w:r>
        <w:rPr>
          <w:rFonts w:hint="eastAsia" w:ascii="方正仿宋_GB2312" w:hAnsi="方正仿宋_GB2312" w:eastAsia="方正仿宋_GB2312" w:cs="方正仿宋_GB2312"/>
          <w:color w:val="000000"/>
          <w:sz w:val="28"/>
          <w:szCs w:val="28"/>
          <w:highlight w:val="white"/>
        </w:rPr>
        <w:t>进行市场调研，邀请合格的供应商参与市场调研。有关事项如下：</w:t>
      </w:r>
    </w:p>
    <w:p w14:paraId="5AC72AD9">
      <w:pPr>
        <w:spacing w:line="500" w:lineRule="exact"/>
        <w:ind w:firstLine="562" w:firstLineChars="200"/>
        <w:rPr>
          <w:rFonts w:hint="eastAsia" w:ascii="方正仿宋_GB2312" w:hAnsi="方正仿宋_GB2312" w:eastAsia="方正仿宋_GB2312" w:cs="方正仿宋_GB2312"/>
          <w:b/>
          <w:sz w:val="28"/>
          <w:szCs w:val="28"/>
          <w:highlight w:val="white"/>
        </w:rPr>
      </w:pPr>
      <w:r>
        <w:rPr>
          <w:rFonts w:hint="eastAsia" w:ascii="方正仿宋_GB2312" w:hAnsi="方正仿宋_GB2312" w:eastAsia="方正仿宋_GB2312" w:cs="方正仿宋_GB2312"/>
          <w:b/>
          <w:sz w:val="28"/>
          <w:szCs w:val="28"/>
          <w:highlight w:val="white"/>
        </w:rPr>
        <w:t>一、项目基本情况</w:t>
      </w:r>
    </w:p>
    <w:p w14:paraId="2CCEB9F6">
      <w:pPr>
        <w:spacing w:line="500" w:lineRule="exact"/>
        <w:ind w:firstLine="560" w:firstLineChars="200"/>
        <w:rPr>
          <w:rFonts w:hint="eastAsia" w:ascii="方正仿宋_GB2312" w:hAnsi="方正仿宋_GB2312" w:eastAsia="方正仿宋_GB2312" w:cs="方正仿宋_GB2312"/>
          <w:sz w:val="28"/>
          <w:szCs w:val="28"/>
          <w:u w:val="single"/>
          <w:lang w:eastAsia="zh-CN"/>
        </w:rPr>
      </w:pPr>
      <w:r>
        <w:rPr>
          <w:rFonts w:hint="eastAsia" w:ascii="方正仿宋_GB2312" w:hAnsi="方正仿宋_GB2312" w:eastAsia="方正仿宋_GB2312" w:cs="方正仿宋_GB2312"/>
          <w:kern w:val="0"/>
          <w:sz w:val="28"/>
          <w:szCs w:val="28"/>
          <w:highlight w:val="white"/>
        </w:rPr>
        <w:t>（一）项目名称：</w:t>
      </w:r>
      <w:r>
        <w:rPr>
          <w:rFonts w:hint="eastAsia" w:ascii="方正仿宋_GB2312" w:hAnsi="方正仿宋_GB2312" w:eastAsia="方正仿宋_GB2312" w:cs="方正仿宋_GB2312"/>
          <w:kern w:val="0"/>
          <w:sz w:val="28"/>
          <w:szCs w:val="28"/>
          <w:highlight w:val="white"/>
          <w:lang w:eastAsia="zh-CN"/>
        </w:rPr>
        <w:t>宿迁市产业发展战略规划及产业空间布局规划（含主导产业集群专题研究）</w:t>
      </w:r>
    </w:p>
    <w:p w14:paraId="6689FE19">
      <w:pPr>
        <w:spacing w:line="500" w:lineRule="exact"/>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highlight w:val="white"/>
        </w:rPr>
        <w:t>（二）采购需求：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852"/>
        <w:gridCol w:w="4217"/>
        <w:gridCol w:w="1239"/>
      </w:tblGrid>
      <w:tr w14:paraId="5609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D654F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kern w:val="0"/>
                <w:sz w:val="28"/>
                <w:szCs w:val="28"/>
              </w:rPr>
            </w:pPr>
            <w:bookmarkStart w:id="0" w:name="_Hlk109058146"/>
            <w:r>
              <w:rPr>
                <w:rFonts w:hint="eastAsia" w:ascii="方正仿宋_GB2312" w:hAnsi="方正仿宋_GB2312" w:eastAsia="方正仿宋_GB2312" w:cs="方正仿宋_GB2312"/>
                <w:kern w:val="0"/>
                <w:sz w:val="28"/>
                <w:szCs w:val="28"/>
              </w:rPr>
              <w:t>序号</w:t>
            </w:r>
          </w:p>
        </w:tc>
        <w:tc>
          <w:tcPr>
            <w:tcW w:w="1852" w:type="dxa"/>
            <w:vAlign w:val="center"/>
          </w:tcPr>
          <w:p w14:paraId="63B9A7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标的</w:t>
            </w:r>
          </w:p>
        </w:tc>
        <w:tc>
          <w:tcPr>
            <w:tcW w:w="4217" w:type="dxa"/>
            <w:vAlign w:val="center"/>
          </w:tcPr>
          <w:p w14:paraId="3D087F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主要用途及功能</w:t>
            </w:r>
          </w:p>
        </w:tc>
        <w:tc>
          <w:tcPr>
            <w:tcW w:w="1239" w:type="dxa"/>
            <w:vAlign w:val="center"/>
          </w:tcPr>
          <w:p w14:paraId="41E6FD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估算价（万元）</w:t>
            </w:r>
          </w:p>
        </w:tc>
      </w:tr>
      <w:tr w14:paraId="4383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EE0A8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1</w:t>
            </w:r>
          </w:p>
        </w:tc>
        <w:tc>
          <w:tcPr>
            <w:tcW w:w="1852" w:type="dxa"/>
            <w:vAlign w:val="center"/>
          </w:tcPr>
          <w:p w14:paraId="74AD2C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lang w:eastAsia="zh-CN"/>
              </w:rPr>
              <w:t>宿迁市产业发展战略规划及产业空间布局规划（含主导产业集群专题研究）</w:t>
            </w:r>
          </w:p>
        </w:tc>
        <w:tc>
          <w:tcPr>
            <w:tcW w:w="4217" w:type="dxa"/>
            <w:vAlign w:val="center"/>
          </w:tcPr>
          <w:p w14:paraId="4997647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lang w:eastAsia="zh-CN"/>
              </w:rPr>
              <w:t>为积极响应宿迁市市委、宿迁市市政府相关指示精神，全面了解宿迁市产业发展情况，综合分析研判其产业发展市场行情及趋势，具体明确不同板块产业发展目标、方向及错位发展策略等重点内容，以及更好地引导各县区产业空间布局规划的编制，宿迁市自然资源和规划局拟对宿迁市产业发展战略规划及产业空间布局规划（含主导产业集群专题研究）进行采购。</w:t>
            </w:r>
          </w:p>
        </w:tc>
        <w:tc>
          <w:tcPr>
            <w:tcW w:w="1239" w:type="dxa"/>
            <w:vAlign w:val="center"/>
          </w:tcPr>
          <w:p w14:paraId="77052D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380</w:t>
            </w:r>
          </w:p>
        </w:tc>
      </w:tr>
      <w:bookmarkEnd w:id="0"/>
    </w:tbl>
    <w:p w14:paraId="2D1883BF">
      <w:pPr>
        <w:spacing w:line="500" w:lineRule="exact"/>
        <w:ind w:firstLine="562"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b/>
          <w:sz w:val="28"/>
          <w:szCs w:val="28"/>
          <w:highlight w:val="white"/>
        </w:rPr>
        <w:t>二、供应商资格要求</w:t>
      </w:r>
    </w:p>
    <w:p w14:paraId="0A4D7EC6">
      <w:pPr>
        <w:spacing w:line="500" w:lineRule="exact"/>
        <w:ind w:firstLine="560" w:firstLineChars="200"/>
        <w:rPr>
          <w:rFonts w:hint="eastAsia" w:ascii="方正仿宋_GB2312" w:hAnsi="方正仿宋_GB2312" w:eastAsia="方正仿宋_GB2312" w:cs="方正仿宋_GB2312"/>
          <w:b w:val="0"/>
          <w:bCs/>
          <w:sz w:val="28"/>
          <w:szCs w:val="28"/>
          <w:highlight w:val="white"/>
        </w:rPr>
      </w:pPr>
      <w:r>
        <w:rPr>
          <w:rFonts w:hint="eastAsia" w:ascii="方正仿宋_GB2312" w:hAnsi="方正仿宋_GB2312" w:eastAsia="方正仿宋_GB2312" w:cs="方正仿宋_GB2312"/>
          <w:b w:val="0"/>
          <w:bCs/>
          <w:sz w:val="28"/>
          <w:szCs w:val="28"/>
          <w:highlight w:val="white"/>
        </w:rPr>
        <w:t>（一）通用资格要求</w:t>
      </w:r>
    </w:p>
    <w:p w14:paraId="3267D9B4">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1.具备《中华人民共和国政府采购法》第二十二条第一款规定的6项条件（按要求提供声明及信用承诺）；</w:t>
      </w:r>
    </w:p>
    <w:p w14:paraId="6A2616D1">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2.信用信息。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p>
    <w:p w14:paraId="7385D5BA">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3.落实政府采购政策需满足的资格要求：无</w:t>
      </w:r>
    </w:p>
    <w:p w14:paraId="4DF2AF77">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（二）本项目的特定资格要求：供应商具备有效期内的甲级城乡规划（国土空间规划）编制资质。</w:t>
      </w:r>
    </w:p>
    <w:p w14:paraId="0A0B1E07">
      <w:pPr>
        <w:spacing w:line="500" w:lineRule="exact"/>
        <w:ind w:firstLine="562" w:firstLineChars="200"/>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highlight w:val="white"/>
        </w:rPr>
        <w:t>三、公告时间</w:t>
      </w:r>
    </w:p>
    <w:p w14:paraId="3DFCEC16">
      <w:pPr>
        <w:keepNext w:val="0"/>
        <w:keepLines w:val="0"/>
        <w:pageBreakBefore w:val="0"/>
        <w:widowControl w:val="0"/>
        <w:kinsoku/>
        <w:wordWrap/>
        <w:overflowPunct/>
        <w:topLinePunct w:val="0"/>
        <w:autoSpaceDE/>
        <w:autoSpaceDN/>
        <w:bidi w:val="0"/>
        <w:adjustRightInd/>
        <w:snapToGrid/>
        <w:spacing w:line="500" w:lineRule="exact"/>
        <w:ind w:right="1123" w:firstLine="560" w:firstLineChars="200"/>
        <w:textAlignment w:val="auto"/>
        <w:rPr>
          <w:rFonts w:hint="eastAsia" w:ascii="方正仿宋_GB2312" w:hAnsi="方正仿宋_GB2312" w:eastAsia="方正仿宋_GB2312" w:cs="方正仿宋_GB2312"/>
          <w:bCs/>
          <w:color w:val="000000"/>
          <w:sz w:val="28"/>
          <w:szCs w:val="28"/>
        </w:rPr>
      </w:pPr>
      <w:bookmarkStart w:id="1" w:name="EBd6e08bd78d674b669f89e3eb71dbbd3d"/>
      <w:r>
        <w:rPr>
          <w:rFonts w:hint="eastAsia" w:ascii="方正仿宋_GB2312" w:hAnsi="方正仿宋_GB2312" w:eastAsia="方正仿宋_GB2312" w:cs="方正仿宋_GB2312"/>
          <w:bCs/>
          <w:color w:val="000000"/>
          <w:sz w:val="28"/>
          <w:szCs w:val="28"/>
          <w:highlight w:val="white"/>
          <w:u w:val="none"/>
          <w:lang w:val="en-US" w:eastAsia="zh-CN"/>
        </w:rPr>
        <w:t>2025</w:t>
      </w:r>
      <w:r>
        <w:rPr>
          <w:rFonts w:hint="eastAsia" w:ascii="方正仿宋_GB2312" w:hAnsi="方正仿宋_GB2312" w:eastAsia="方正仿宋_GB2312" w:cs="方正仿宋_GB2312"/>
          <w:bCs/>
          <w:color w:val="000000"/>
          <w:sz w:val="28"/>
          <w:szCs w:val="28"/>
          <w:highlight w:val="white"/>
          <w:u w:val="none"/>
        </w:rPr>
        <w:t>年</w:t>
      </w:r>
      <w:r>
        <w:rPr>
          <w:rFonts w:hint="eastAsia" w:ascii="方正仿宋_GB2312" w:hAnsi="方正仿宋_GB2312" w:eastAsia="方正仿宋_GB2312" w:cs="方正仿宋_GB2312"/>
          <w:bCs/>
          <w:color w:val="000000"/>
          <w:sz w:val="28"/>
          <w:szCs w:val="28"/>
          <w:highlight w:val="white"/>
          <w:u w:val="none"/>
          <w:lang w:val="en-US" w:eastAsia="zh-CN"/>
        </w:rPr>
        <w:t>06</w:t>
      </w:r>
      <w:r>
        <w:rPr>
          <w:rFonts w:hint="eastAsia" w:ascii="方正仿宋_GB2312" w:hAnsi="方正仿宋_GB2312" w:eastAsia="方正仿宋_GB2312" w:cs="方正仿宋_GB2312"/>
          <w:bCs/>
          <w:color w:val="000000"/>
          <w:sz w:val="28"/>
          <w:szCs w:val="28"/>
          <w:highlight w:val="white"/>
          <w:u w:val="none"/>
        </w:rPr>
        <w:t>月</w:t>
      </w:r>
      <w:r>
        <w:rPr>
          <w:rFonts w:hint="eastAsia" w:ascii="方正仿宋_GB2312" w:hAnsi="方正仿宋_GB2312" w:eastAsia="方正仿宋_GB2312" w:cs="方正仿宋_GB2312"/>
          <w:bCs/>
          <w:color w:val="000000"/>
          <w:sz w:val="28"/>
          <w:szCs w:val="28"/>
          <w:highlight w:val="white"/>
          <w:u w:val="none"/>
          <w:lang w:val="en-US" w:eastAsia="zh-CN"/>
        </w:rPr>
        <w:t>20</w:t>
      </w:r>
      <w:r>
        <w:rPr>
          <w:rFonts w:hint="eastAsia" w:ascii="方正仿宋_GB2312" w:hAnsi="方正仿宋_GB2312" w:eastAsia="方正仿宋_GB2312" w:cs="方正仿宋_GB2312"/>
          <w:bCs/>
          <w:color w:val="000000"/>
          <w:sz w:val="28"/>
          <w:szCs w:val="28"/>
          <w:highlight w:val="white"/>
          <w:u w:val="none"/>
        </w:rPr>
        <w:t>日</w:t>
      </w:r>
      <w:bookmarkEnd w:id="1"/>
      <w:r>
        <w:rPr>
          <w:rFonts w:hint="eastAsia" w:ascii="方正仿宋_GB2312" w:hAnsi="方正仿宋_GB2312" w:eastAsia="方正仿宋_GB2312" w:cs="方正仿宋_GB2312"/>
          <w:bCs/>
          <w:color w:val="000000"/>
          <w:sz w:val="28"/>
          <w:szCs w:val="28"/>
          <w:highlight w:val="white"/>
          <w:u w:val="none"/>
          <w:lang w:val="en-US" w:eastAsia="zh-CN"/>
        </w:rPr>
        <w:t>09:00</w:t>
      </w:r>
      <w:r>
        <w:rPr>
          <w:rFonts w:hint="eastAsia" w:ascii="方正仿宋_GB2312" w:hAnsi="方正仿宋_GB2312" w:eastAsia="方正仿宋_GB2312" w:cs="方正仿宋_GB2312"/>
          <w:bCs/>
          <w:color w:val="000000"/>
          <w:sz w:val="28"/>
          <w:szCs w:val="28"/>
          <w:highlight w:val="white"/>
          <w:u w:val="none"/>
        </w:rPr>
        <w:t>至</w:t>
      </w:r>
      <w:bookmarkStart w:id="2" w:name="EB4a82fe30d91a48338ebb02b9012d939c"/>
      <w:r>
        <w:rPr>
          <w:rFonts w:hint="eastAsia" w:ascii="方正仿宋_GB2312" w:hAnsi="方正仿宋_GB2312" w:eastAsia="方正仿宋_GB2312" w:cs="方正仿宋_GB2312"/>
          <w:bCs/>
          <w:color w:val="000000"/>
          <w:sz w:val="28"/>
          <w:szCs w:val="28"/>
          <w:highlight w:val="white"/>
          <w:u w:val="none"/>
          <w:lang w:val="en-US" w:eastAsia="zh-CN"/>
        </w:rPr>
        <w:t>2025</w:t>
      </w:r>
      <w:r>
        <w:rPr>
          <w:rFonts w:hint="eastAsia" w:ascii="方正仿宋_GB2312" w:hAnsi="方正仿宋_GB2312" w:eastAsia="方正仿宋_GB2312" w:cs="方正仿宋_GB2312"/>
          <w:bCs/>
          <w:color w:val="000000"/>
          <w:sz w:val="28"/>
          <w:szCs w:val="28"/>
          <w:highlight w:val="white"/>
          <w:u w:val="none"/>
        </w:rPr>
        <w:t>年</w:t>
      </w:r>
      <w:r>
        <w:rPr>
          <w:rFonts w:hint="eastAsia" w:ascii="方正仿宋_GB2312" w:hAnsi="方正仿宋_GB2312" w:eastAsia="方正仿宋_GB2312" w:cs="方正仿宋_GB2312"/>
          <w:bCs/>
          <w:color w:val="000000"/>
          <w:sz w:val="28"/>
          <w:szCs w:val="28"/>
          <w:highlight w:val="white"/>
          <w:u w:val="none"/>
          <w:lang w:val="en-US" w:eastAsia="zh-CN"/>
        </w:rPr>
        <w:t>06</w:t>
      </w:r>
      <w:r>
        <w:rPr>
          <w:rFonts w:hint="eastAsia" w:ascii="方正仿宋_GB2312" w:hAnsi="方正仿宋_GB2312" w:eastAsia="方正仿宋_GB2312" w:cs="方正仿宋_GB2312"/>
          <w:bCs/>
          <w:color w:val="000000"/>
          <w:sz w:val="28"/>
          <w:szCs w:val="28"/>
          <w:highlight w:val="white"/>
          <w:u w:val="none"/>
        </w:rPr>
        <w:t>月</w:t>
      </w:r>
      <w:r>
        <w:rPr>
          <w:rFonts w:hint="eastAsia" w:ascii="方正仿宋_GB2312" w:hAnsi="方正仿宋_GB2312" w:eastAsia="方正仿宋_GB2312" w:cs="方正仿宋_GB2312"/>
          <w:bCs/>
          <w:color w:val="000000"/>
          <w:sz w:val="28"/>
          <w:szCs w:val="28"/>
          <w:highlight w:val="white"/>
          <w:u w:val="none"/>
          <w:lang w:val="en-US" w:eastAsia="zh-CN"/>
        </w:rPr>
        <w:t>24</w:t>
      </w:r>
      <w:r>
        <w:rPr>
          <w:rFonts w:hint="eastAsia" w:ascii="方正仿宋_GB2312" w:hAnsi="方正仿宋_GB2312" w:eastAsia="方正仿宋_GB2312" w:cs="方正仿宋_GB2312"/>
          <w:bCs/>
          <w:color w:val="000000"/>
          <w:sz w:val="28"/>
          <w:szCs w:val="28"/>
          <w:highlight w:val="white"/>
          <w:u w:val="none"/>
        </w:rPr>
        <w:t>日</w:t>
      </w:r>
      <w:r>
        <w:rPr>
          <w:rFonts w:hint="eastAsia" w:ascii="方正仿宋_GB2312" w:hAnsi="方正仿宋_GB2312" w:eastAsia="方正仿宋_GB2312" w:cs="方正仿宋_GB2312"/>
          <w:bCs/>
          <w:color w:val="000000"/>
          <w:sz w:val="28"/>
          <w:szCs w:val="28"/>
          <w:highlight w:val="white"/>
          <w:u w:val="none"/>
          <w:lang w:val="en-US" w:eastAsia="zh-CN"/>
        </w:rPr>
        <w:t>17</w:t>
      </w:r>
      <w:r>
        <w:rPr>
          <w:rFonts w:hint="eastAsia" w:ascii="方正仿宋_GB2312" w:hAnsi="方正仿宋_GB2312" w:eastAsia="方正仿宋_GB2312" w:cs="方正仿宋_GB2312"/>
          <w:bCs/>
          <w:color w:val="000000"/>
          <w:sz w:val="28"/>
          <w:szCs w:val="28"/>
          <w:highlight w:val="white"/>
          <w:u w:val="none"/>
        </w:rPr>
        <w:t>:</w:t>
      </w:r>
      <w:bookmarkEnd w:id="2"/>
      <w:r>
        <w:rPr>
          <w:rFonts w:hint="eastAsia" w:ascii="方正仿宋_GB2312" w:hAnsi="方正仿宋_GB2312" w:eastAsia="方正仿宋_GB2312" w:cs="方正仿宋_GB2312"/>
          <w:bCs/>
          <w:color w:val="000000"/>
          <w:sz w:val="28"/>
          <w:szCs w:val="28"/>
          <w:highlight w:val="white"/>
          <w:u w:val="none"/>
          <w:lang w:val="en-US" w:eastAsia="zh-CN"/>
        </w:rPr>
        <w:t>30</w:t>
      </w:r>
      <w:r>
        <w:rPr>
          <w:rFonts w:hint="eastAsia" w:ascii="方正仿宋_GB2312" w:hAnsi="方正仿宋_GB2312" w:eastAsia="方正仿宋_GB2312" w:cs="方正仿宋_GB2312"/>
          <w:bCs/>
          <w:color w:val="000000"/>
          <w:sz w:val="28"/>
          <w:szCs w:val="28"/>
          <w:highlight w:val="white"/>
        </w:rPr>
        <w:t>。</w:t>
      </w:r>
    </w:p>
    <w:p w14:paraId="1ABA9FE4">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bCs/>
          <w:color w:val="000000"/>
          <w:sz w:val="28"/>
          <w:szCs w:val="28"/>
          <w:highlight w:val="green"/>
        </w:rPr>
      </w:pPr>
      <w:r>
        <w:rPr>
          <w:rFonts w:hint="eastAsia" w:ascii="方正仿宋_GB2312" w:hAnsi="方正仿宋_GB2312" w:eastAsia="方正仿宋_GB2312" w:cs="方正仿宋_GB2312"/>
          <w:bCs/>
          <w:color w:val="000000"/>
          <w:sz w:val="28"/>
          <w:szCs w:val="28"/>
          <w:highlight w:val="white"/>
        </w:rPr>
        <w:t>供应商在宿迁市政府采购网（http://zfcg.sqcz.suqian.gov.cn/）找到本项目获取相关调研文件。</w:t>
      </w:r>
    </w:p>
    <w:p w14:paraId="2168C128">
      <w:pPr>
        <w:spacing w:line="500" w:lineRule="exact"/>
        <w:ind w:firstLine="562" w:firstLineChars="200"/>
        <w:rPr>
          <w:rFonts w:hint="eastAsia" w:ascii="方正仿宋_GB2312" w:hAnsi="方正仿宋_GB2312" w:eastAsia="方正仿宋_GB2312" w:cs="方正仿宋_GB2312"/>
          <w:b/>
          <w:sz w:val="28"/>
          <w:szCs w:val="28"/>
          <w:highlight w:val="white"/>
        </w:rPr>
      </w:pPr>
      <w:r>
        <w:rPr>
          <w:rFonts w:hint="eastAsia" w:ascii="方正仿宋_GB2312" w:hAnsi="方正仿宋_GB2312" w:eastAsia="方正仿宋_GB2312" w:cs="方正仿宋_GB2312"/>
          <w:b/>
          <w:sz w:val="28"/>
          <w:szCs w:val="28"/>
          <w:highlight w:val="white"/>
        </w:rPr>
        <w:t>四、调研提交资料、截止时间和地点</w:t>
      </w:r>
    </w:p>
    <w:p w14:paraId="13F54DB7">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（一）采购需求响应表</w:t>
      </w:r>
    </w:p>
    <w:tbl>
      <w:tblPr>
        <w:tblStyle w:val="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302"/>
        <w:gridCol w:w="1886"/>
        <w:gridCol w:w="1374"/>
      </w:tblGrid>
      <w:tr w14:paraId="6FD3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1F47BDFB">
            <w:pPr>
              <w:spacing w:line="500" w:lineRule="exact"/>
              <w:jc w:val="center"/>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序号</w:t>
            </w:r>
          </w:p>
        </w:tc>
        <w:tc>
          <w:tcPr>
            <w:tcW w:w="1264" w:type="dxa"/>
            <w:vAlign w:val="center"/>
          </w:tcPr>
          <w:p w14:paraId="434D6FCC">
            <w:pPr>
              <w:spacing w:line="500" w:lineRule="exact"/>
              <w:jc w:val="center"/>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标的</w:t>
            </w:r>
          </w:p>
        </w:tc>
        <w:tc>
          <w:tcPr>
            <w:tcW w:w="3302" w:type="dxa"/>
            <w:vAlign w:val="center"/>
          </w:tcPr>
          <w:p w14:paraId="2425AB3F">
            <w:pPr>
              <w:spacing w:line="500" w:lineRule="exact"/>
              <w:jc w:val="center"/>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详细功能、技术参数或服务要求</w:t>
            </w:r>
          </w:p>
        </w:tc>
        <w:tc>
          <w:tcPr>
            <w:tcW w:w="1886" w:type="dxa"/>
            <w:vAlign w:val="center"/>
          </w:tcPr>
          <w:p w14:paraId="259FA50E">
            <w:pPr>
              <w:spacing w:line="500" w:lineRule="exact"/>
              <w:jc w:val="center"/>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自身优势</w:t>
            </w:r>
          </w:p>
        </w:tc>
        <w:tc>
          <w:tcPr>
            <w:tcW w:w="1374" w:type="dxa"/>
            <w:vAlign w:val="center"/>
          </w:tcPr>
          <w:p w14:paraId="3527A1AD">
            <w:pPr>
              <w:spacing w:line="500" w:lineRule="exact"/>
              <w:jc w:val="center"/>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参考价</w:t>
            </w:r>
          </w:p>
          <w:p w14:paraId="1E165EFA">
            <w:pPr>
              <w:spacing w:line="500" w:lineRule="exact"/>
              <w:jc w:val="center"/>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（万元）</w:t>
            </w:r>
          </w:p>
        </w:tc>
      </w:tr>
      <w:tr w14:paraId="2F4B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40C97111">
            <w:pPr>
              <w:spacing w:line="500" w:lineRule="exact"/>
              <w:jc w:val="center"/>
              <w:rPr>
                <w:rFonts w:hint="eastAsia" w:ascii="方正仿宋_GB2312" w:hAnsi="方正仿宋_GB2312" w:eastAsia="方正仿宋_GB2312" w:cs="方正仿宋_GB2312"/>
                <w:kern w:val="0"/>
                <w:sz w:val="28"/>
                <w:szCs w:val="28"/>
              </w:rPr>
            </w:pPr>
          </w:p>
        </w:tc>
        <w:tc>
          <w:tcPr>
            <w:tcW w:w="1264" w:type="dxa"/>
            <w:vAlign w:val="center"/>
          </w:tcPr>
          <w:p w14:paraId="70677B7B">
            <w:pPr>
              <w:spacing w:line="500" w:lineRule="exact"/>
              <w:jc w:val="center"/>
              <w:rPr>
                <w:rFonts w:hint="eastAsia" w:ascii="方正仿宋_GB2312" w:hAnsi="方正仿宋_GB2312" w:eastAsia="方正仿宋_GB2312" w:cs="方正仿宋_GB2312"/>
                <w:kern w:val="0"/>
                <w:sz w:val="28"/>
                <w:szCs w:val="28"/>
              </w:rPr>
            </w:pPr>
          </w:p>
        </w:tc>
        <w:tc>
          <w:tcPr>
            <w:tcW w:w="3302" w:type="dxa"/>
            <w:vAlign w:val="center"/>
          </w:tcPr>
          <w:p w14:paraId="72D0C042">
            <w:pPr>
              <w:spacing w:line="500" w:lineRule="exact"/>
              <w:jc w:val="center"/>
              <w:rPr>
                <w:rFonts w:hint="eastAsia" w:ascii="方正仿宋_GB2312" w:hAnsi="方正仿宋_GB2312" w:eastAsia="方正仿宋_GB2312" w:cs="方正仿宋_GB2312"/>
                <w:kern w:val="0"/>
                <w:sz w:val="28"/>
                <w:szCs w:val="28"/>
              </w:rPr>
            </w:pPr>
          </w:p>
        </w:tc>
        <w:tc>
          <w:tcPr>
            <w:tcW w:w="1886" w:type="dxa"/>
            <w:vAlign w:val="center"/>
          </w:tcPr>
          <w:p w14:paraId="5408DFD8">
            <w:pPr>
              <w:spacing w:line="500" w:lineRule="exact"/>
              <w:jc w:val="center"/>
              <w:rPr>
                <w:rFonts w:hint="eastAsia" w:ascii="方正仿宋_GB2312" w:hAnsi="方正仿宋_GB2312" w:eastAsia="方正仿宋_GB2312" w:cs="方正仿宋_GB2312"/>
                <w:kern w:val="0"/>
                <w:sz w:val="28"/>
                <w:szCs w:val="28"/>
              </w:rPr>
            </w:pPr>
          </w:p>
        </w:tc>
        <w:tc>
          <w:tcPr>
            <w:tcW w:w="1374" w:type="dxa"/>
          </w:tcPr>
          <w:p w14:paraId="50EA8757">
            <w:pPr>
              <w:spacing w:line="500" w:lineRule="exact"/>
              <w:jc w:val="center"/>
              <w:rPr>
                <w:rFonts w:hint="eastAsia" w:ascii="方正仿宋_GB2312" w:hAnsi="方正仿宋_GB2312" w:eastAsia="方正仿宋_GB2312" w:cs="方正仿宋_GB2312"/>
                <w:kern w:val="0"/>
                <w:sz w:val="28"/>
                <w:szCs w:val="28"/>
              </w:rPr>
            </w:pPr>
          </w:p>
        </w:tc>
      </w:tr>
      <w:tr w14:paraId="3DDB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1193F779">
            <w:pPr>
              <w:spacing w:line="500" w:lineRule="exact"/>
              <w:jc w:val="center"/>
              <w:rPr>
                <w:rFonts w:hint="eastAsia" w:ascii="方正仿宋_GB2312" w:hAnsi="方正仿宋_GB2312" w:eastAsia="方正仿宋_GB2312" w:cs="方正仿宋_GB2312"/>
                <w:kern w:val="0"/>
                <w:sz w:val="28"/>
                <w:szCs w:val="28"/>
              </w:rPr>
            </w:pPr>
          </w:p>
        </w:tc>
        <w:tc>
          <w:tcPr>
            <w:tcW w:w="1264" w:type="dxa"/>
            <w:vAlign w:val="center"/>
          </w:tcPr>
          <w:p w14:paraId="5D070B9D">
            <w:pPr>
              <w:spacing w:line="500" w:lineRule="exact"/>
              <w:jc w:val="center"/>
              <w:rPr>
                <w:rFonts w:hint="eastAsia" w:ascii="方正仿宋_GB2312" w:hAnsi="方正仿宋_GB2312" w:eastAsia="方正仿宋_GB2312" w:cs="方正仿宋_GB2312"/>
                <w:kern w:val="0"/>
                <w:sz w:val="28"/>
                <w:szCs w:val="28"/>
              </w:rPr>
            </w:pPr>
          </w:p>
        </w:tc>
        <w:tc>
          <w:tcPr>
            <w:tcW w:w="3302" w:type="dxa"/>
            <w:vAlign w:val="center"/>
          </w:tcPr>
          <w:p w14:paraId="23BEE78B">
            <w:pPr>
              <w:spacing w:line="500" w:lineRule="exact"/>
              <w:jc w:val="center"/>
              <w:rPr>
                <w:rFonts w:hint="eastAsia" w:ascii="方正仿宋_GB2312" w:hAnsi="方正仿宋_GB2312" w:eastAsia="方正仿宋_GB2312" w:cs="方正仿宋_GB2312"/>
                <w:kern w:val="0"/>
                <w:sz w:val="28"/>
                <w:szCs w:val="28"/>
              </w:rPr>
            </w:pPr>
          </w:p>
        </w:tc>
        <w:tc>
          <w:tcPr>
            <w:tcW w:w="1886" w:type="dxa"/>
            <w:vAlign w:val="center"/>
          </w:tcPr>
          <w:p w14:paraId="66115479">
            <w:pPr>
              <w:spacing w:line="500" w:lineRule="exact"/>
              <w:jc w:val="center"/>
              <w:rPr>
                <w:rFonts w:hint="eastAsia" w:ascii="方正仿宋_GB2312" w:hAnsi="方正仿宋_GB2312" w:eastAsia="方正仿宋_GB2312" w:cs="方正仿宋_GB2312"/>
                <w:kern w:val="0"/>
                <w:sz w:val="28"/>
                <w:szCs w:val="28"/>
              </w:rPr>
            </w:pPr>
          </w:p>
        </w:tc>
        <w:tc>
          <w:tcPr>
            <w:tcW w:w="1374" w:type="dxa"/>
          </w:tcPr>
          <w:p w14:paraId="54C97167">
            <w:pPr>
              <w:spacing w:line="500" w:lineRule="exact"/>
              <w:jc w:val="center"/>
              <w:rPr>
                <w:rFonts w:hint="eastAsia" w:ascii="方正仿宋_GB2312" w:hAnsi="方正仿宋_GB2312" w:eastAsia="方正仿宋_GB2312" w:cs="方正仿宋_GB2312"/>
                <w:kern w:val="0"/>
                <w:sz w:val="28"/>
                <w:szCs w:val="28"/>
              </w:rPr>
            </w:pPr>
          </w:p>
        </w:tc>
      </w:tr>
      <w:tr w14:paraId="4261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6E7A0CBB">
            <w:pPr>
              <w:spacing w:line="500" w:lineRule="exact"/>
              <w:jc w:val="center"/>
              <w:rPr>
                <w:rFonts w:hint="eastAsia" w:ascii="方正仿宋_GB2312" w:hAnsi="方正仿宋_GB2312" w:eastAsia="方正仿宋_GB2312" w:cs="方正仿宋_GB2312"/>
                <w:kern w:val="0"/>
                <w:sz w:val="28"/>
                <w:szCs w:val="28"/>
              </w:rPr>
            </w:pPr>
          </w:p>
        </w:tc>
        <w:tc>
          <w:tcPr>
            <w:tcW w:w="1264" w:type="dxa"/>
            <w:vAlign w:val="center"/>
          </w:tcPr>
          <w:p w14:paraId="68E8430E">
            <w:pPr>
              <w:spacing w:line="500" w:lineRule="exact"/>
              <w:jc w:val="center"/>
              <w:rPr>
                <w:rFonts w:hint="eastAsia" w:ascii="方正仿宋_GB2312" w:hAnsi="方正仿宋_GB2312" w:eastAsia="方正仿宋_GB2312" w:cs="方正仿宋_GB2312"/>
                <w:kern w:val="0"/>
                <w:sz w:val="28"/>
                <w:szCs w:val="28"/>
              </w:rPr>
            </w:pPr>
          </w:p>
        </w:tc>
        <w:tc>
          <w:tcPr>
            <w:tcW w:w="3302" w:type="dxa"/>
            <w:vAlign w:val="center"/>
          </w:tcPr>
          <w:p w14:paraId="7588EED9">
            <w:pPr>
              <w:spacing w:line="500" w:lineRule="exact"/>
              <w:jc w:val="center"/>
              <w:rPr>
                <w:rFonts w:hint="eastAsia" w:ascii="方正仿宋_GB2312" w:hAnsi="方正仿宋_GB2312" w:eastAsia="方正仿宋_GB2312" w:cs="方正仿宋_GB2312"/>
                <w:kern w:val="0"/>
                <w:sz w:val="28"/>
                <w:szCs w:val="28"/>
              </w:rPr>
            </w:pPr>
          </w:p>
        </w:tc>
        <w:tc>
          <w:tcPr>
            <w:tcW w:w="1886" w:type="dxa"/>
            <w:vAlign w:val="center"/>
          </w:tcPr>
          <w:p w14:paraId="2C39D6E8">
            <w:pPr>
              <w:spacing w:line="500" w:lineRule="exact"/>
              <w:jc w:val="center"/>
              <w:rPr>
                <w:rFonts w:hint="eastAsia" w:ascii="方正仿宋_GB2312" w:hAnsi="方正仿宋_GB2312" w:eastAsia="方正仿宋_GB2312" w:cs="方正仿宋_GB2312"/>
                <w:kern w:val="0"/>
                <w:sz w:val="28"/>
                <w:szCs w:val="28"/>
              </w:rPr>
            </w:pPr>
          </w:p>
        </w:tc>
        <w:tc>
          <w:tcPr>
            <w:tcW w:w="1374" w:type="dxa"/>
          </w:tcPr>
          <w:p w14:paraId="18A57633">
            <w:pPr>
              <w:spacing w:line="500" w:lineRule="exact"/>
              <w:jc w:val="center"/>
              <w:rPr>
                <w:rFonts w:hint="eastAsia" w:ascii="方正仿宋_GB2312" w:hAnsi="方正仿宋_GB2312" w:eastAsia="方正仿宋_GB2312" w:cs="方正仿宋_GB2312"/>
                <w:kern w:val="0"/>
                <w:sz w:val="28"/>
                <w:szCs w:val="28"/>
              </w:rPr>
            </w:pPr>
          </w:p>
        </w:tc>
      </w:tr>
    </w:tbl>
    <w:p w14:paraId="097DBF60">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（二）提交证明资料：</w:t>
      </w:r>
    </w:p>
    <w:p w14:paraId="5EF013C2">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1.</w:t>
      </w:r>
    </w:p>
    <w:p w14:paraId="1993DA57">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2.</w:t>
      </w:r>
    </w:p>
    <w:p w14:paraId="7C1D47EE">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3.</w:t>
      </w:r>
    </w:p>
    <w:p w14:paraId="66CFEFD0">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w:t>
      </w:r>
    </w:p>
    <w:p w14:paraId="18CDD5CF">
      <w:pPr>
        <w:spacing w:line="500" w:lineRule="exact"/>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以上资料加盖供应商公章后扫描发送至邮箱（</w:t>
      </w:r>
      <w:r>
        <w:rPr>
          <w:rFonts w:hint="eastAsia" w:ascii="方正仿宋_GB2312" w:hAnsi="方正仿宋_GB2312" w:eastAsia="方正仿宋_GB2312" w:cs="方正仿宋_GB2312"/>
          <w:sz w:val="28"/>
          <w:szCs w:val="28"/>
          <w:highlight w:val="none"/>
          <w:lang w:val="en-US" w:eastAsia="zh-CN"/>
        </w:rPr>
        <w:t>616233899@qq.com</w:t>
      </w:r>
      <w:r>
        <w:rPr>
          <w:rFonts w:hint="eastAsia" w:ascii="方正仿宋_GB2312" w:hAnsi="方正仿宋_GB2312" w:eastAsia="方正仿宋_GB2312" w:cs="方正仿宋_GB2312"/>
          <w:sz w:val="28"/>
          <w:szCs w:val="28"/>
          <w:highlight w:val="none"/>
        </w:rPr>
        <w:t>），其中明确要求产品制造商提供的调研资料请加盖制造商公章后上传。</w:t>
      </w:r>
    </w:p>
    <w:p w14:paraId="7B257ABF">
      <w:pPr>
        <w:spacing w:line="500" w:lineRule="exact"/>
        <w:ind w:firstLine="560" w:firstLineChars="200"/>
        <w:rPr>
          <w:rFonts w:hint="eastAsia" w:ascii="方正仿宋_GB2312" w:hAnsi="方正仿宋_GB2312" w:eastAsia="方正仿宋_GB2312" w:cs="方正仿宋_GB2312"/>
          <w:bCs/>
          <w:color w:val="000000"/>
          <w:sz w:val="28"/>
          <w:szCs w:val="28"/>
          <w:highlight w:val="none"/>
          <w:u w:val="single"/>
        </w:rPr>
      </w:pPr>
      <w:r>
        <w:rPr>
          <w:rFonts w:hint="eastAsia" w:ascii="方正仿宋_GB2312" w:hAnsi="方正仿宋_GB2312" w:eastAsia="方正仿宋_GB2312" w:cs="方正仿宋_GB2312"/>
          <w:sz w:val="28"/>
          <w:szCs w:val="28"/>
          <w:highlight w:val="none"/>
        </w:rPr>
        <w:t>（三）</w:t>
      </w:r>
      <w:r>
        <w:rPr>
          <w:rFonts w:hint="eastAsia" w:ascii="方正仿宋_GB2312" w:hAnsi="方正仿宋_GB2312" w:eastAsia="方正仿宋_GB2312" w:cs="方正仿宋_GB2312"/>
          <w:kern w:val="0"/>
          <w:sz w:val="28"/>
          <w:szCs w:val="28"/>
          <w:highlight w:val="none"/>
        </w:rPr>
        <w:t>提交截止时间：</w:t>
      </w:r>
      <w:r>
        <w:rPr>
          <w:rFonts w:hint="eastAsia" w:ascii="方正仿宋_GB2312" w:hAnsi="方正仿宋_GB2312" w:eastAsia="方正仿宋_GB2312" w:cs="方正仿宋_GB2312"/>
          <w:bCs/>
          <w:color w:val="000000"/>
          <w:sz w:val="28"/>
          <w:szCs w:val="28"/>
          <w:highlight w:val="none"/>
          <w:u w:val="single"/>
          <w:lang w:val="en-US" w:eastAsia="zh-CN"/>
        </w:rPr>
        <w:t>2025</w:t>
      </w:r>
      <w:r>
        <w:rPr>
          <w:rFonts w:hint="eastAsia" w:ascii="方正仿宋_GB2312" w:hAnsi="方正仿宋_GB2312" w:eastAsia="方正仿宋_GB2312" w:cs="方正仿宋_GB2312"/>
          <w:bCs/>
          <w:color w:val="000000"/>
          <w:sz w:val="28"/>
          <w:szCs w:val="28"/>
          <w:highlight w:val="none"/>
        </w:rPr>
        <w:t>年</w:t>
      </w:r>
      <w:r>
        <w:rPr>
          <w:rFonts w:hint="eastAsia" w:ascii="方正仿宋_GB2312" w:hAnsi="方正仿宋_GB2312" w:eastAsia="方正仿宋_GB2312" w:cs="方正仿宋_GB2312"/>
          <w:bCs/>
          <w:color w:val="000000"/>
          <w:sz w:val="28"/>
          <w:szCs w:val="28"/>
          <w:highlight w:val="none"/>
          <w:u w:val="single"/>
          <w:lang w:val="en-US" w:eastAsia="zh-CN"/>
        </w:rPr>
        <w:t>06</w:t>
      </w:r>
      <w:r>
        <w:rPr>
          <w:rFonts w:hint="eastAsia" w:ascii="方正仿宋_GB2312" w:hAnsi="方正仿宋_GB2312" w:eastAsia="方正仿宋_GB2312" w:cs="方正仿宋_GB2312"/>
          <w:bCs/>
          <w:color w:val="000000"/>
          <w:sz w:val="28"/>
          <w:szCs w:val="28"/>
          <w:highlight w:val="none"/>
        </w:rPr>
        <w:t>月</w:t>
      </w:r>
      <w:r>
        <w:rPr>
          <w:rFonts w:hint="eastAsia" w:ascii="方正仿宋_GB2312" w:hAnsi="方正仿宋_GB2312" w:eastAsia="方正仿宋_GB2312" w:cs="方正仿宋_GB2312"/>
          <w:bCs/>
          <w:color w:val="000000"/>
          <w:sz w:val="28"/>
          <w:szCs w:val="28"/>
          <w:highlight w:val="none"/>
          <w:u w:val="single"/>
          <w:lang w:val="en-US" w:eastAsia="zh-CN"/>
        </w:rPr>
        <w:t>24</w:t>
      </w:r>
      <w:r>
        <w:rPr>
          <w:rFonts w:hint="eastAsia" w:ascii="方正仿宋_GB2312" w:hAnsi="方正仿宋_GB2312" w:eastAsia="方正仿宋_GB2312" w:cs="方正仿宋_GB2312"/>
          <w:bCs/>
          <w:color w:val="000000"/>
          <w:sz w:val="28"/>
          <w:szCs w:val="28"/>
          <w:highlight w:val="none"/>
        </w:rPr>
        <w:t>日</w:t>
      </w:r>
      <w:r>
        <w:rPr>
          <w:rFonts w:hint="eastAsia" w:ascii="方正仿宋_GB2312" w:hAnsi="方正仿宋_GB2312" w:eastAsia="方正仿宋_GB2312" w:cs="方正仿宋_GB2312"/>
          <w:bCs/>
          <w:color w:val="000000"/>
          <w:sz w:val="28"/>
          <w:szCs w:val="28"/>
          <w:highlight w:val="none"/>
          <w:u w:val="single"/>
          <w:lang w:val="en-US" w:eastAsia="zh-CN"/>
        </w:rPr>
        <w:t>17</w:t>
      </w:r>
      <w:r>
        <w:rPr>
          <w:rFonts w:hint="eastAsia" w:ascii="方正仿宋_GB2312" w:hAnsi="方正仿宋_GB2312" w:eastAsia="方正仿宋_GB2312" w:cs="方正仿宋_GB2312"/>
          <w:bCs/>
          <w:color w:val="000000"/>
          <w:sz w:val="28"/>
          <w:szCs w:val="28"/>
          <w:highlight w:val="none"/>
          <w:u w:val="single"/>
        </w:rPr>
        <w:t>:</w:t>
      </w:r>
      <w:r>
        <w:rPr>
          <w:rFonts w:hint="eastAsia" w:ascii="方正仿宋_GB2312" w:hAnsi="方正仿宋_GB2312" w:eastAsia="方正仿宋_GB2312" w:cs="方正仿宋_GB2312"/>
          <w:bCs/>
          <w:color w:val="000000"/>
          <w:sz w:val="28"/>
          <w:szCs w:val="28"/>
          <w:highlight w:val="none"/>
          <w:u w:val="single"/>
          <w:lang w:val="en-US" w:eastAsia="zh-CN"/>
        </w:rPr>
        <w:t>30</w:t>
      </w:r>
    </w:p>
    <w:p w14:paraId="6A611DDC">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none"/>
        </w:rPr>
        <w:t>（四）供应商应提交截止时间前将电子响应文件发送至邮箱（</w:t>
      </w:r>
      <w:r>
        <w:rPr>
          <w:rFonts w:hint="eastAsia" w:ascii="方正仿宋_GB2312" w:hAnsi="方正仿宋_GB2312" w:eastAsia="方正仿宋_GB2312" w:cs="方正仿宋_GB2312"/>
          <w:sz w:val="28"/>
          <w:szCs w:val="28"/>
          <w:highlight w:val="none"/>
          <w:lang w:eastAsia="zh-CN"/>
        </w:rPr>
        <w:t>616233899@qq.com</w:t>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highlight w:val="white"/>
        </w:rPr>
        <w:t>，逾期完成发送的，采购人不予受理。</w:t>
      </w:r>
    </w:p>
    <w:p w14:paraId="64D5F1B0">
      <w:pPr>
        <w:spacing w:line="500" w:lineRule="exact"/>
        <w:ind w:firstLine="562" w:firstLineChars="200"/>
        <w:rPr>
          <w:rFonts w:hint="eastAsia" w:ascii="方正仿宋_GB2312" w:hAnsi="方正仿宋_GB2312" w:eastAsia="方正仿宋_GB2312" w:cs="方正仿宋_GB2312"/>
          <w:b/>
          <w:bCs/>
          <w:iCs/>
          <w:sz w:val="28"/>
          <w:szCs w:val="28"/>
          <w:highlight w:val="white"/>
        </w:rPr>
      </w:pPr>
      <w:r>
        <w:rPr>
          <w:rFonts w:hint="eastAsia" w:ascii="方正仿宋_GB2312" w:hAnsi="方正仿宋_GB2312" w:eastAsia="方正仿宋_GB2312" w:cs="方正仿宋_GB2312"/>
          <w:b/>
          <w:bCs/>
          <w:iCs/>
          <w:sz w:val="28"/>
          <w:szCs w:val="28"/>
          <w:highlight w:val="white"/>
        </w:rPr>
        <w:t>五、本次采购联系方式</w:t>
      </w:r>
      <w:bookmarkStart w:id="3" w:name="_GoBack"/>
      <w:bookmarkEnd w:id="3"/>
    </w:p>
    <w:p w14:paraId="544380C8">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1.采购人信息</w:t>
      </w:r>
    </w:p>
    <w:p w14:paraId="3C41C543">
      <w:pPr>
        <w:spacing w:line="500" w:lineRule="exact"/>
        <w:ind w:firstLine="560" w:firstLineChars="200"/>
        <w:rPr>
          <w:rFonts w:hint="eastAsia" w:ascii="方正仿宋_GB2312" w:hAnsi="方正仿宋_GB2312" w:eastAsia="方正仿宋_GB2312" w:cs="方正仿宋_GB2312"/>
          <w:sz w:val="28"/>
          <w:szCs w:val="28"/>
          <w:highlight w:val="white"/>
          <w:lang w:eastAsia="zh-CN"/>
        </w:rPr>
      </w:pPr>
      <w:r>
        <w:rPr>
          <w:rFonts w:hint="eastAsia" w:ascii="方正仿宋_GB2312" w:hAnsi="方正仿宋_GB2312" w:eastAsia="方正仿宋_GB2312" w:cs="方正仿宋_GB2312"/>
          <w:sz w:val="28"/>
          <w:szCs w:val="28"/>
          <w:highlight w:val="white"/>
        </w:rPr>
        <w:t>名称：</w:t>
      </w:r>
      <w:r>
        <w:rPr>
          <w:rFonts w:hint="eastAsia" w:ascii="方正仿宋_GB2312" w:hAnsi="方正仿宋_GB2312" w:eastAsia="方正仿宋_GB2312" w:cs="方正仿宋_GB2312"/>
          <w:sz w:val="28"/>
          <w:szCs w:val="28"/>
          <w:highlight w:val="white"/>
          <w:lang w:eastAsia="zh-CN"/>
        </w:rPr>
        <w:t>宿迁市自然资源和规划局</w:t>
      </w:r>
    </w:p>
    <w:p w14:paraId="5A311A8E">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地址：宿迁市洪泽湖路889号（便民方舟3号楼）</w:t>
      </w:r>
    </w:p>
    <w:p w14:paraId="1632CFFE">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联系人：丁溪</w:t>
      </w:r>
    </w:p>
    <w:p w14:paraId="5AAA4D8F">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联系方式：13401898605</w:t>
      </w:r>
    </w:p>
    <w:p w14:paraId="0B46B667">
      <w:pPr>
        <w:rPr>
          <w:rFonts w:hint="eastAsia" w:ascii="方正仿宋_GB2312" w:hAnsi="方正仿宋_GB2312" w:eastAsia="方正仿宋_GB2312" w:cs="方正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2312">
    <w:panose1 w:val="02000000000000000000"/>
    <w:charset w:val="86"/>
    <w:family w:val="auto"/>
    <w:pitch w:val="default"/>
    <w:sig w:usb0="A00002BF" w:usb1="184F6CFA" w:usb2="00000012" w:usb3="00000000" w:csb0="00040001" w:csb1="00000000"/>
    <w:embedRegular r:id="rId1" w:fontKey="{10C9204E-527C-4AD4-9689-7E8A90158DF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hNGE1ZjA3OWVhYTQxNzRkYmQwYTJjYjg4OGRkYTAifQ=="/>
  </w:docVars>
  <w:rsids>
    <w:rsidRoot w:val="00BB5496"/>
    <w:rsid w:val="00036EDD"/>
    <w:rsid w:val="0007684E"/>
    <w:rsid w:val="00077253"/>
    <w:rsid w:val="001066D9"/>
    <w:rsid w:val="00175B5B"/>
    <w:rsid w:val="0019698F"/>
    <w:rsid w:val="00222B7F"/>
    <w:rsid w:val="002468D0"/>
    <w:rsid w:val="002E2966"/>
    <w:rsid w:val="002E30A6"/>
    <w:rsid w:val="003D405A"/>
    <w:rsid w:val="005015FE"/>
    <w:rsid w:val="0050465C"/>
    <w:rsid w:val="00586ACF"/>
    <w:rsid w:val="005C035B"/>
    <w:rsid w:val="005D572E"/>
    <w:rsid w:val="005E71DB"/>
    <w:rsid w:val="008D5780"/>
    <w:rsid w:val="0094356E"/>
    <w:rsid w:val="00985763"/>
    <w:rsid w:val="009B1C42"/>
    <w:rsid w:val="009E2E99"/>
    <w:rsid w:val="009E4DDF"/>
    <w:rsid w:val="009F4FB3"/>
    <w:rsid w:val="00AA5B7C"/>
    <w:rsid w:val="00AC2E0D"/>
    <w:rsid w:val="00AE6CA7"/>
    <w:rsid w:val="00B13D2C"/>
    <w:rsid w:val="00B708B9"/>
    <w:rsid w:val="00B7209E"/>
    <w:rsid w:val="00BB09C1"/>
    <w:rsid w:val="00BB5496"/>
    <w:rsid w:val="00C02226"/>
    <w:rsid w:val="00CB56A5"/>
    <w:rsid w:val="00D31DB4"/>
    <w:rsid w:val="00DA5981"/>
    <w:rsid w:val="00DD023B"/>
    <w:rsid w:val="00EF61A3"/>
    <w:rsid w:val="00FA57A6"/>
    <w:rsid w:val="04D8694E"/>
    <w:rsid w:val="06283890"/>
    <w:rsid w:val="0A2F7EAD"/>
    <w:rsid w:val="0AE0740A"/>
    <w:rsid w:val="0B756CA4"/>
    <w:rsid w:val="0CF64FD9"/>
    <w:rsid w:val="0D085B39"/>
    <w:rsid w:val="0E7923B1"/>
    <w:rsid w:val="13946135"/>
    <w:rsid w:val="141A0584"/>
    <w:rsid w:val="17D731F6"/>
    <w:rsid w:val="19947A8F"/>
    <w:rsid w:val="1C9E6B95"/>
    <w:rsid w:val="1D141E95"/>
    <w:rsid w:val="1EEE0DF0"/>
    <w:rsid w:val="20E245E0"/>
    <w:rsid w:val="21FA5CFD"/>
    <w:rsid w:val="22B21C62"/>
    <w:rsid w:val="23BA7796"/>
    <w:rsid w:val="24EF141E"/>
    <w:rsid w:val="253B28B5"/>
    <w:rsid w:val="26914E82"/>
    <w:rsid w:val="28612632"/>
    <w:rsid w:val="2AD815A5"/>
    <w:rsid w:val="2C511062"/>
    <w:rsid w:val="2DBD655D"/>
    <w:rsid w:val="2E5340CC"/>
    <w:rsid w:val="30936632"/>
    <w:rsid w:val="331D184C"/>
    <w:rsid w:val="333C4FE6"/>
    <w:rsid w:val="365323FF"/>
    <w:rsid w:val="371107C6"/>
    <w:rsid w:val="3BA40DCD"/>
    <w:rsid w:val="3C6167CA"/>
    <w:rsid w:val="3FED574D"/>
    <w:rsid w:val="405F5252"/>
    <w:rsid w:val="43522954"/>
    <w:rsid w:val="437D2BFE"/>
    <w:rsid w:val="4762455C"/>
    <w:rsid w:val="48AB0A5A"/>
    <w:rsid w:val="492D2391"/>
    <w:rsid w:val="4C107D48"/>
    <w:rsid w:val="4CC9532C"/>
    <w:rsid w:val="4DAC584E"/>
    <w:rsid w:val="506B51A7"/>
    <w:rsid w:val="54362370"/>
    <w:rsid w:val="565F6AC4"/>
    <w:rsid w:val="5B6F3AEF"/>
    <w:rsid w:val="5DCD7847"/>
    <w:rsid w:val="679F0F2F"/>
    <w:rsid w:val="6C9F4AA4"/>
    <w:rsid w:val="6F617513"/>
    <w:rsid w:val="76F93003"/>
    <w:rsid w:val="778560AF"/>
    <w:rsid w:val="7B844B2A"/>
    <w:rsid w:val="7BA125C7"/>
    <w:rsid w:val="7DF12C86"/>
    <w:rsid w:val="7ECA4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rPr>
      <w:rFonts w:ascii="Times New Roman" w:hAnsi="Times New Roman" w:eastAsia="宋体" w:cs="Times New Roman"/>
      <w:szCs w:val="20"/>
    </w:rPr>
  </w:style>
  <w:style w:type="paragraph" w:styleId="5">
    <w:name w:val="Normal Indent"/>
    <w:basedOn w:val="1"/>
    <w:autoRedefine/>
    <w:qFormat/>
    <w:uiPriority w:val="0"/>
    <w:pPr>
      <w:ind w:firstLine="420"/>
    </w:pPr>
    <w:rPr>
      <w:szCs w:val="21"/>
    </w:rPr>
  </w:style>
  <w:style w:type="paragraph" w:styleId="6">
    <w:name w:val="annotation text"/>
    <w:basedOn w:val="1"/>
    <w:autoRedefine/>
    <w:semiHidden/>
    <w:unhideWhenUsed/>
    <w:qFormat/>
    <w:uiPriority w:val="99"/>
    <w:pPr>
      <w:jc w:val="left"/>
    </w:pPr>
  </w:style>
  <w:style w:type="paragraph" w:styleId="7">
    <w:name w:val="Body Text Indent 2"/>
    <w:basedOn w:val="1"/>
    <w:link w:val="24"/>
    <w:autoRedefine/>
    <w:semiHidden/>
    <w:unhideWhenUsed/>
    <w:qFormat/>
    <w:uiPriority w:val="0"/>
    <w:pPr>
      <w:spacing w:line="540" w:lineRule="exact"/>
      <w:ind w:firstLine="225" w:firstLineChars="225"/>
      <w:jc w:val="left"/>
    </w:pPr>
    <w:rPr>
      <w:rFonts w:ascii="仿宋_GB2312" w:eastAsia="仿宋_GB2312"/>
      <w:sz w:val="32"/>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style>
  <w:style w:type="character" w:styleId="12">
    <w:name w:val="FollowedHyperlink"/>
    <w:basedOn w:val="10"/>
    <w:autoRedefine/>
    <w:semiHidden/>
    <w:unhideWhenUsed/>
    <w:qFormat/>
    <w:uiPriority w:val="99"/>
    <w:rPr>
      <w:color w:val="800080"/>
      <w:u w:val="none"/>
    </w:rPr>
  </w:style>
  <w:style w:type="character" w:styleId="13">
    <w:name w:val="Emphasis"/>
    <w:basedOn w:val="10"/>
    <w:autoRedefine/>
    <w:qFormat/>
    <w:uiPriority w:val="20"/>
  </w:style>
  <w:style w:type="character" w:styleId="14">
    <w:name w:val="HTML Definition"/>
    <w:basedOn w:val="10"/>
    <w:autoRedefine/>
    <w:semiHidden/>
    <w:unhideWhenUsed/>
    <w:qFormat/>
    <w:uiPriority w:val="99"/>
  </w:style>
  <w:style w:type="character" w:styleId="15">
    <w:name w:val="HTML Typewriter"/>
    <w:basedOn w:val="10"/>
    <w:autoRedefine/>
    <w:semiHidden/>
    <w:unhideWhenUsed/>
    <w:qFormat/>
    <w:uiPriority w:val="99"/>
    <w:rPr>
      <w:rFonts w:hint="default" w:ascii="monospace" w:hAnsi="monospace" w:eastAsia="monospace" w:cs="monospace"/>
      <w:sz w:val="20"/>
    </w:rPr>
  </w:style>
  <w:style w:type="character" w:styleId="16">
    <w:name w:val="HTML Acronym"/>
    <w:basedOn w:val="10"/>
    <w:autoRedefine/>
    <w:semiHidden/>
    <w:unhideWhenUsed/>
    <w:qFormat/>
    <w:uiPriority w:val="99"/>
  </w:style>
  <w:style w:type="character" w:styleId="17">
    <w:name w:val="HTML Variable"/>
    <w:basedOn w:val="10"/>
    <w:autoRedefine/>
    <w:semiHidden/>
    <w:unhideWhenUsed/>
    <w:qFormat/>
    <w:uiPriority w:val="99"/>
  </w:style>
  <w:style w:type="character" w:styleId="18">
    <w:name w:val="Hyperlink"/>
    <w:basedOn w:val="10"/>
    <w:autoRedefine/>
    <w:semiHidden/>
    <w:unhideWhenUsed/>
    <w:qFormat/>
    <w:uiPriority w:val="99"/>
    <w:rPr>
      <w:color w:val="0000FF"/>
      <w:u w:val="none"/>
    </w:rPr>
  </w:style>
  <w:style w:type="character" w:styleId="19">
    <w:name w:val="HTML Code"/>
    <w:basedOn w:val="10"/>
    <w:autoRedefine/>
    <w:semiHidden/>
    <w:unhideWhenUsed/>
    <w:qFormat/>
    <w:uiPriority w:val="99"/>
    <w:rPr>
      <w:rFonts w:ascii="monospace" w:hAnsi="monospace" w:eastAsia="monospace" w:cs="monospace"/>
      <w:sz w:val="20"/>
    </w:rPr>
  </w:style>
  <w:style w:type="character" w:styleId="20">
    <w:name w:val="HTML Cite"/>
    <w:basedOn w:val="10"/>
    <w:autoRedefine/>
    <w:semiHidden/>
    <w:unhideWhenUsed/>
    <w:qFormat/>
    <w:uiPriority w:val="99"/>
  </w:style>
  <w:style w:type="character" w:styleId="21">
    <w:name w:val="HTML Keyboard"/>
    <w:basedOn w:val="10"/>
    <w:autoRedefine/>
    <w:semiHidden/>
    <w:unhideWhenUsed/>
    <w:qFormat/>
    <w:uiPriority w:val="99"/>
    <w:rPr>
      <w:rFonts w:hint="default" w:ascii="monospace" w:hAnsi="monospace" w:eastAsia="monospace" w:cs="monospace"/>
      <w:sz w:val="20"/>
    </w:rPr>
  </w:style>
  <w:style w:type="character" w:styleId="22">
    <w:name w:val="HTML Sample"/>
    <w:basedOn w:val="10"/>
    <w:autoRedefine/>
    <w:semiHidden/>
    <w:unhideWhenUsed/>
    <w:qFormat/>
    <w:uiPriority w:val="99"/>
    <w:rPr>
      <w:rFonts w:hint="default" w:ascii="monospace" w:hAnsi="monospace" w:eastAsia="monospace" w:cs="monospace"/>
    </w:rPr>
  </w:style>
  <w:style w:type="character" w:customStyle="1" w:styleId="23">
    <w:name w:val="标题 1 字符"/>
    <w:basedOn w:val="10"/>
    <w:link w:val="2"/>
    <w:autoRedefine/>
    <w:qFormat/>
    <w:uiPriority w:val="0"/>
    <w:rPr>
      <w:rFonts w:ascii="Times New Roman" w:hAnsi="Times New Roman" w:eastAsia="宋体" w:cs="Times New Roman"/>
      <w:b/>
      <w:kern w:val="44"/>
      <w:sz w:val="44"/>
      <w:szCs w:val="20"/>
    </w:rPr>
  </w:style>
  <w:style w:type="character" w:customStyle="1" w:styleId="24">
    <w:name w:val="正文文本缩进 2 字符"/>
    <w:basedOn w:val="10"/>
    <w:link w:val="7"/>
    <w:autoRedefine/>
    <w:semiHidden/>
    <w:qFormat/>
    <w:uiPriority w:val="0"/>
    <w:rPr>
      <w:rFonts w:ascii="仿宋_GB2312" w:hAnsi="Calibri" w:eastAsia="仿宋_GB2312" w:cs="Times New Roman"/>
      <w:sz w:val="32"/>
    </w:rPr>
  </w:style>
  <w:style w:type="character" w:customStyle="1" w:styleId="25">
    <w:name w:val="old"/>
    <w:basedOn w:val="10"/>
    <w:autoRedefine/>
    <w:qFormat/>
    <w:uiPriority w:val="0"/>
    <w:rPr>
      <w:color w:val="999999"/>
    </w:rPr>
  </w:style>
  <w:style w:type="character" w:customStyle="1" w:styleId="26">
    <w:name w:val="layui-layer-tabnow"/>
    <w:basedOn w:val="10"/>
    <w:autoRedefine/>
    <w:qFormat/>
    <w:uiPriority w:val="0"/>
    <w:rPr>
      <w:bdr w:val="single" w:color="CCCCCC" w:sz="6" w:space="0"/>
      <w:shd w:val="clear" w:fill="FFFFFF"/>
    </w:rPr>
  </w:style>
  <w:style w:type="character" w:customStyle="1" w:styleId="27">
    <w:name w:val="glyphicon"/>
    <w:basedOn w:val="10"/>
    <w:autoRedefine/>
    <w:qFormat/>
    <w:uiPriority w:val="0"/>
  </w:style>
  <w:style w:type="character" w:customStyle="1" w:styleId="28">
    <w:name w:val="hour_am"/>
    <w:basedOn w:val="10"/>
    <w:autoRedefine/>
    <w:qFormat/>
    <w:uiPriority w:val="0"/>
  </w:style>
  <w:style w:type="character" w:customStyle="1" w:styleId="29">
    <w:name w:val="hover5"/>
    <w:basedOn w:val="10"/>
    <w:autoRedefine/>
    <w:qFormat/>
    <w:uiPriority w:val="0"/>
    <w:rPr>
      <w:shd w:val="clear" w:fill="EEEEEE"/>
    </w:rPr>
  </w:style>
  <w:style w:type="character" w:customStyle="1" w:styleId="30">
    <w:name w:val="hour_pm"/>
    <w:basedOn w:val="10"/>
    <w:autoRedefine/>
    <w:qFormat/>
    <w:uiPriority w:val="0"/>
  </w:style>
  <w:style w:type="character" w:customStyle="1" w:styleId="31">
    <w:name w:val="first-child"/>
    <w:basedOn w:val="10"/>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1237B-81AE-4AF4-AB3A-081D35362E77}">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919</Words>
  <Characters>1048</Characters>
  <Lines>5</Lines>
  <Paragraphs>1</Paragraphs>
  <TotalTime>0</TotalTime>
  <ScaleCrop>false</ScaleCrop>
  <LinksUpToDate>false</LinksUpToDate>
  <CharactersWithSpaces>1048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2022-07-18T08:10:00Z</dcterms:created>
  <dc:creator>sqzbbzbs@163.com</dc:creator>
  <cp:lastModifiedBy>春暖花开</cp:lastModifiedBy>
  <dcterms:modified xsi:type="dcterms:W3CDTF">2025-06-19T05:14:17Z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D0DBA5F50C7545B9AB07CE0AD9518293_13</vt:lpwstr>
  </property>
  <property fmtid="{D5CDD505-2E9C-101B-9397-08002B2CF9AE}" pid="4" name="KSOTemplateDocerSaveRecord">
    <vt:lpwstr>eyJoZGlkIjoiNWZhNGE1ZjA3OWVhYTQxNzRkYmQwYTJjYjg4OGRkYTAiLCJ1c2VySWQiOiI0MTAzODI5MzAifQ==</vt:lpwstr>
  </property>
</Properties>
</file>